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Olla Nutricional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los grupos de alimentos según las Guías Alimentarias del Paraguay, con un enfoque en diversidad, equidad e inclusión. La evaluación se realiza de manera integral, calificando 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Olla Nutricional Medio Ambiente</w:t>
      </w:r>
    </w:p>
    <w:p>
      <w:pPr/>
      <w:r>
        <w:rPr/>
        <w:t xml:space="preserve">Esta rúbrica está diseñada para evaluar el conocimiento y la comprensión de los estudiantes de primaria (6-11 años) sobre los grupos de alimentos según las Guías Alimentarias del Paraguay, con un enfoque en diversidad, equidad e inclusión. La evaluación se realiza de manera integral, calificando 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de alimentos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grupos de alimentos según las Guías Alimentarias del Paraguay.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alimentos por grupo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para cada grupo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nutricional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la función o beneficio de cada grupo de alimentos para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comprensible para la edad, usando recursos visuales o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que respeta la diversidad cultural y social de sus compañeros y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en los alimentos</w:t>
            </w:r>
          </w:p>
        </w:tc>
        <w:tc>
          <w:tcPr>
            <w:noWrap/>
          </w:tcPr>
          <w:p>
            <w:pPr/>
            <w:r>
              <w:rPr/>
              <w:t xml:space="preserve">Incluye alimentos representativos de distintas culturas presentes en Paraguay o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al trabajar con otros, valorando las ideas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 en la elección de alimentos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impacto ambiental de los alimentos elegidos, promoviendo opciones sostenibles.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2026-10-01T23:27:46-05:00</dcterms:created>
  <dcterms:modified xsi:type="dcterms:W3CDTF">2026-10-01T23:27:46-05:00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