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reconocimiento, clasificación y aplicación de propiedades de los triángulos, así como la resolución y explicación de ejercicios relacionados. Está diseñada para estudiantes de secundaria (12-15 años) y se utiliza para la autoevaluación y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permite evaluar el reconocimiento, clasificación y aplicación de propiedades de los triángulos, así como la resolución y explicación de ejercicios relacionados. Está diseñada para estudiantes de secundaria (12-15 años) y se utiliza para la autoevaluación y coevaluación entre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por sus lados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triángulos según sus lados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triángulos según sus lados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por sus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triángulos según sus ángulos (acutángulo, rectángulo, obtusángulo) con precisión.</w:t>
            </w:r>
          </w:p>
        </w:tc>
        <w:tc>
          <w:tcPr>
            <w:noWrap/>
          </w:tcPr>
          <w:p>
            <w:pPr/>
            <w:r>
              <w:rPr/>
              <w:t xml:space="preserve">Confunde o no clasifica adecuadamente los triángulos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que la suma de los ángulos interiores es 180°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los ángulos interiores o presenta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relaciones entre lados del triángulo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relaciones entre lados (como desigualdad triangular)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relaciones entre lados en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ordenada de ejercicios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completos para resolver los problemas propuestos.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incompleto o desordenado,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las respuestas, justificando cada paso correctamente.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poco claras o incorrectas sobre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geométricos relacionados con triángulos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de forma incorrecta o escasa el vocabulario geométrico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con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útiles que ayudan a mejorar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brinda retroalimentación poco clara o no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2026-10-02T02:31:13-05:00</dcterms:created>
  <dcterms:modified xsi:type="dcterms:W3CDTF">2026-10-02T02:31:13-05:00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