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Unidad 3 - Fiesta de la Chilenidad Rapa Nui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pasos básicos de Rapa Nui para estudiantes de educación media (15-17 años). Esta rúbrica permite identificar fortalezas y áreas de mejora en el desempeño individual en la recreación de los pasos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Unidad 3 - Fiesta de la Chilenidad Rapa Nui Recreación</w:t>
      </w:r>
    </w:p>
    <w:p>
      <w:pPr/>
      <w:r>
        <w:rPr/>
        <w:t xml:space="preserve">Evaluación de los pasos básicos de Rapa Nui para estudiantes de educación media (15-17 años). Esta rúbrica permite identificar fortalezas y áreas de mejora en el desempeño individual en la recreación de los pasos tradicionales.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 básicos de Rapa Nui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precisión, fluidez y coordinación, demostrando un dominio claro de la técnica.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algunas imprecisiones menores en la coordinación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los pasos básicos, con movimientos descoordinados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y equilibrio firme en todo momento durante la recreación.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correcta y equilibrio, con algunos desequilibrios temporales.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equilibrio, afectando la calidad de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Sigue el ritmo musical de forma precisa y sincroniza sus movimientos con la música perfectamente.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 y sincronización, aunque presenta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sincronizarse con la música, mostrando descoordinación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expresividad corporal y actitud positiva que enriquecen la presentación y reflejan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aunque la expresión corporal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expresión corporal ausente o inapropiada para la recreación.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sus compañeros para lograr una presentación armoniosa.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su colaboración con el equipo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dificulta el trabajo en equipo con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2026-10-02T04:29:12-05:00</dcterms:created>
  <dcterms:modified xsi:type="dcterms:W3CDTF">2026-10-02T04:29:12-05:00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