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"Crecemos en la Práctica de los Derechos Humanos"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reconocimiento y comprensión de los derechos humanos como base de la convivencia humana en estudiantes de primaria (6-11 años). Incluye criterios que promueven la diversidad, equidad e inclusión (DEI) para fomentar un ambiente de respeto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"Crecemos en la Práctica de los Derechos Humanos" en Historia</w:t>
      </w:r>
    </w:p>
    <w:p>
      <w:pPr/>
      <w:r>
        <w:rPr/>
        <w:t xml:space="preserve">Esta rúbrica está diseñada para evaluar de manera integral el reconocimiento y comprensión de los derechos humanos como base de la convivencia humana en estudiantes de primaria (6-11 años). Incluye criterios que promueven la diversidad, equidad e inclusión (DEI) para fomentar un ambiente de respeto y comprensión.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Humanos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adecuada de los derechos humanos como base para la convivencia humana.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Identifica y explica ejemplos de cómo se pueden aplicar los derechos humanos en situaciones cotidianas.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las diferencias culturales, sociales y personales en sus respuestas y actitudes.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incluir y respetar a todas las personas, promoviendo un trato justo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utilizando un lenguaje apropiado para su edad y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cooperación en actividades grupales relacionadas con los derechos humanos.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promover y defender los derechos humanos en su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sencilla y honesta sobre cómo los derechos humanos influyen en su vida y su convivencia.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2026-10-01T19:52:25-05:00</dcterms:created>
  <dcterms:modified xsi:type="dcterms:W3CDTF">2026-10-01T19:52:25-05:00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