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Legislación Aduanera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legislación aduanera en estudiantes de educación técnica y tecnológica,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Legislación Aduanera en Educación General</w:t>
      </w:r>
    </w:p>
    <w:p>
      <w:pPr/>
      <w:r>
        <w:rPr/>
        <w:t xml:space="preserve">Esta rúbrica está diseñada para evaluar el conocimiento y aplicación de la legislación aduanera en estudiantes de educación técnica y tecnológica, proporcionando una evaluación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la legislación aduanera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algunas imprecisiones menores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los conceptos básicos de la legislación aduanera.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normativas y leyes aduaneras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normativas y leyes aplicables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normativas y leyes, pero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normativas ni las leyes relevantes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legislación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la legislación aduanera de forma adecuada y coherente en todos los escenarios propuestos.</w:t>
            </w:r>
          </w:p>
        </w:tc>
        <w:tc>
          <w:tcPr>
            <w:noWrap/>
          </w:tcPr>
          <w:p>
            <w:pPr/>
            <w:r>
              <w:rPr/>
              <w:t xml:space="preserve">Aplica la legislación correctamente en la mayoría de los casos, pero con ciertas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legislación en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procesos aduaneros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aspectos clave y proponiendo mejoras.</w:t>
            </w:r>
          </w:p>
        </w:tc>
        <w:tc>
          <w:tcPr>
            <w:noWrap/>
          </w:tcPr>
          <w:p>
            <w:pPr/>
            <w:r>
              <w:rPr/>
              <w:t xml:space="preserve">Analiza los procesos aduaneros con cierta profundidad, pero sin un enfoque crítico completo.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carece de elementos críticos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aduanera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de manera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escaso de la terminología técnica aduanera.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la presentación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legislación con contextos reales del comercio exterior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la legislación y situaciones reales del comercio exterior.</w:t>
            </w:r>
          </w:p>
        </w:tc>
        <w:tc>
          <w:tcPr>
            <w:noWrap/>
          </w:tcPr>
          <w:p>
            <w:pPr/>
            <w:r>
              <w:rPr/>
              <w:t xml:space="preserve">Relaciona la legislación con contextos reales, aunque con conexiones poco profundas o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vincular la legislación con ejemplos o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legales en el manejo de información aduanera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evidente con la ética y la legalidad en el manejo de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legalidad, aunque con algunas omisiones o lapsos.</w:t>
            </w:r>
          </w:p>
        </w:tc>
        <w:tc>
          <w:tcPr>
            <w:noWrap/>
          </w:tcPr>
          <w:p>
            <w:pPr/>
            <w:r>
              <w:rPr/>
              <w:t xml:space="preserve">No evidencia respeto por las normas éticas y legales en la gestión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2026-10-02T01:06:07-05:00</dcterms:created>
  <dcterms:modified xsi:type="dcterms:W3CDTF">2026-10-02T01:06:07-05:00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