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Mis Emociones Tienen Nombre y Apellido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la identificación y expresión de emociones post trauma infantil en estudiantes de primaria (6-11 años) dentro del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Mis Emociones Tienen Nombre y Apellido</w:t>
      </w:r>
    </w:p>
    <w:p>
      <w:pPr/>
      <w:r>
        <w:rPr/>
        <w:t xml:space="preserve">Evalúa la identificación y expresión de emociones post trauma infantil en estudiantes de primaria (6-11 años) dentro del área de Ética y Valores.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nombra al menos tres emociones diferentes relacionadas con experiencias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con palabras sencillas cómo se siente cuando experimenta cada emoción.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alguna emoción con una experiencia o recuerdo específico (post trauma infantil).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concretos para explicar su emoción.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al hablar de emociones propias y ajenas.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una forma positiva de manejar o expresar cada emoción mencionada.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la tarea con claridad y orden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reflexión o discusión grupal sobre emociones post trauma.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2026-10-01T23:53:18-05:00</dcterms:created>
  <dcterms:modified xsi:type="dcterms:W3CDTF">2026-10-01T23:53:18-05:00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