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Speaking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oral en inglés de estudiantes de secundaria (12-15 años) durante actividades de expresión oral en tiempo real. Cada criterio se valora en una escala del 1 al 5, donde 1 es muy pobre y 5 es excelente. Se incluyen aspectos de diversidad, equidad e inclusión para garantizar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Speaking en Inglés - Secundaria</w:t>
      </w:r>
    </w:p>
    <w:p>
      <w:pPr/>
      <w:r>
        <w:rPr/>
        <w:t xml:space="preserve">Esta rúbrica está diseñada para evaluar el desempeño oral en inglés de estudiantes de secundaria (12-15 años) durante actividades de expresión oral en tiempo real. Cada criterio se valora en una escala del 1 al 5, donde 1 es muy pobre y 5 es excelente. Se incluyen aspectos de diversidad, equidad e inclusión para garantizar un ambiente respetuoso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habla con claridad, utilizando una pronunciación comprensible y adecuada para su nivel.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un flujo natural, sin pausas excesivas ni interrupciones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tarea, mostrando control de estructuras básicas y algunas complejas.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ordenada y lógica,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 a preguntas o comentarios, demostrando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 al hablar, con actitud positiva y disposición para comunicarse sin temor.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orígenes culturales y formas de expresión, evitando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invitando a la participación de todos y respetando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2026-10-02T01:52:12-05:00</dcterms:created>
  <dcterms:modified xsi:type="dcterms:W3CDTF">2026-10-02T01:52:12-05:00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