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Habilidades en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general de los estudiantes de secundaria (12-15 años) en las cuatro habilidades fundamentales de la lengua extranjera: comprensión auditiva, expresión oral, comprensión lectora y expresión escrita. Cada aspecto se valora con un único criterio que refleja el nivel de logro esperado en la tarea o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Habilidades en Lengua Extranjera</w:t>
      </w:r>
    </w:p>
    <w:p>
      <w:pPr/>
      <w:r>
        <w:rPr/>
        <w:t xml:space="preserve">Esta rúbrica evalúa el desempeño general de los estudiantes de secundaria (12-15 años) en las cuatro habilidades fundamentales de la lengua extranjera: comprensión auditiva, expresión oral, comprensión lectora y expresión escrita. Cada aspecto se valora con un único criterio que refleja el nivel de logro esperado en la tarea o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entender mensajes orales claros y relevantes, identificando ideas principales y detalles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coherencia, utilizando vocabulario adecuado y pronunciación comprensible para expresar ideas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Interpreta textos escritos con precisión, reconociendo el propósito, estructura y significado de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Produce textos escritos claros y organizados, aplicando correctamente la gramática, ortografía y vocabulario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rango adecuado de vocabulario que enriquece la comunicación y muestra comprensión contextual.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básicas y algunas complejas con precisión para construir mensajes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Emplea una pronunciación clara y entonación adecuada que facilita la comprensión en la comunicación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actividades grupales, respetando turnos y aportando ideas que enriquecen el trabajo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2026-10-02T05:43:20-05:00</dcterms:created>
  <dcterms:modified xsi:type="dcterms:W3CDTF">2026-10-02T05:43:20-05:00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