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Cuadro de Infracciones Tributarias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inclusión y claridad de los elementos esenciales en el cuadro de infracciones tributarias elaborado por estudiantes de nivel media (15-17 años), asegurando que comprendan la política tributaria y sus consecuencias.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Cuadro de Infracciones Tributarias</w:t>
      </w:r>
    </w:p>
    <w:p>
      <w:pPr/>
      <w:r>
        <w:rPr/>
        <w:t xml:space="preserve">Esta lista de verificación permite evaluar la inclusión y claridad de los elementos esenciales en el cuadro de infracciones tributarias elaborado por estudiantes de nivel media (15-17 años), asegurando que comprendan la política tributaria y sus consecuencias.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cinco tipos diferentes de infracciones tributarias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cada infracción con lenguaje sencillo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consecuencias o sanciones asociadas a cada infracción.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manera ordenada y coherente (por ejemplo, en columnas o filas).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términos relacionados con la política tributaria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cuadro con un título claro y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fuentes o referencias básicas para la información presentada (opcional pero recomendado).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errores ortográficos y de redacción que dificulten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2026-10-02T01:42:49-05:00</dcterms:created>
  <dcterms:modified xsi:type="dcterms:W3CDTF">2026-10-02T01:42:49-05:00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