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lectura en estudiantes de secundaria, evidenciando sus fortalezas y áreas de mejora. Incluye criterios claros y específicos, incorporando aspectos de Diversidad, Equidad e Inclusión (DEI) para fomentar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- Secundaria (12-15 años)</w:t>
      </w:r>
    </w:p>
    <w:p>
      <w:pPr/>
      <w:r>
        <w:rPr/>
        <w:t xml:space="preserve">Esta rúbrica está diseñada para evaluar habilidades de lectura en estudiantes de secundaria, evidenciando sus fortalezas y áreas de mejora. Incluye criterios claros y específicos, incorporando aspectos de Diversidad, Equidad e Inclusión (DEI) para fomentar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identifica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algunas secundarias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confunde 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entender el contenido básico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y análisis bien fundamentados, relacionando el texto con contextos diversos.</w:t>
            </w:r>
          </w:p>
        </w:tc>
        <w:tc>
          <w:tcPr>
            <w:noWrap/>
          </w:tcPr>
          <w:p>
            <w:pPr/>
            <w:r>
              <w:rPr/>
              <w:t xml:space="preserve">Interpretaciones y análisis adecuados, con algunas conexiones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limitadas; pocas conexiones con el contexto.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significativas ni análisis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variado, comprende términos complejos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nuevos; reconoce contextos culturales básicos.</w:t>
            </w:r>
          </w:p>
        </w:tc>
        <w:tc>
          <w:tcPr>
            <w:noWrap/>
          </w:tcPr>
          <w:p>
            <w:pPr/>
            <w:r>
              <w:rPr/>
              <w:t xml:space="preserve">Vocabulario limitado; dificultades para comprender términos nuevos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limitado; no comprende términos esenciales ni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propósito y punto de vista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del autor y su punto de vista, incluyendo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y punto de vista general del autor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o punto de vista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el propósito ni el punto de vista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Selecciona y cita evidencias precisas y relevantes para apoyar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irrelevantes para sustentar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apoyar sus ideas o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gran respeto y reconocimiento hacia diversas culturas y lenguas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opiniones de todos,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considera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muestra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ético del texto (DEI)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temas sociales y éticos, considerando perspectivas diversas e inclusivas.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el impacto social y ético del texto.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temas sociales y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impacto social o ético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2026-10-02T00:41:20-05:00</dcterms:created>
  <dcterms:modified xsi:type="dcterms:W3CDTF">2026-10-02T00:41:20-05:00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