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en estudiantes de primaria (6-11 años), enfocándose en los aspectos de entonación, dicción, ritmo y fluidez.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</w:t>
      </w:r>
    </w:p>
    <w:p>
      <w:pPr/>
      <w:r>
        <w:rPr/>
        <w:t xml:space="preserve">Esta rúbrica está diseñada para evaluar la fluidez lectora en estudiantes de primaria (6-11 años), enfocándose en los aspectos de entonación, dicción, ritmo y fluidez.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refleja claramente el sentido del texto y las emociones.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con leves variaciones que apoyan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algo monótona con pocas variaciones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plana y monotónica que no refleja el significado ni las emociones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precisión,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algunos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poco clara que impide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Lee con un ritmo natural y adecuado que mantiene el interés y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 aunque con pequeñas pausas o aceleraciones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prolongadas o aceleraciones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muy irregular que dificulta gravemente la comprensión y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de manera continua y fluida,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con pocas pausas o repeticiones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o repeticiones que interrumpen la continuidad de la lectura.</w:t>
            </w:r>
          </w:p>
        </w:tc>
        <w:tc>
          <w:tcPr>
            <w:noWrap/>
          </w:tcPr>
          <w:p>
            <w:pPr/>
            <w:r>
              <w:rPr/>
              <w:t xml:space="preserve">Lectura fragmentada con muchas pausas, repeticiones y dificultad para mantener la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2026-10-01T23:44:42-05:00</dcterms:created>
  <dcterms:modified xsi:type="dcterms:W3CDTF">2026-10-01T23:44:42-05:00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