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15 a 17 años. Cada criterio se evalúa de forma individual para identificar fortalezas y áreas de mejora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Crítica Literaria</w:t>
      </w:r>
    </w:p>
    <w:p>
      <w:pPr/>
      <w:r>
        <w:rPr/>
        <w:t xml:space="preserve">Esta rúbrica está diseñada para evaluar la redacción de una crítica literaria en estudiantes de 15 a 17 años. Cada criterio se evalúa de forma individual para identificar fortalezas y áreas de mejora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temas, símbolos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texto, reconociendo los temas principales y algunos símbolos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mencionando temas evidentes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interpretaciones erróneas 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Argumentación y análisis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fundamentados y analíticos que apoyan claramente la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alguna fundamentación,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Argumentos débiles, confusos o ausentes, sin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forma lógica,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una estructura reconocible,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cierta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el texto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Emplea un lenguaje rico, preciso y adecuado al género, con un estilo personal y convincente.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aunque con menor variedad o estilo menos desarrollado.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pobre o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perspectivas creativas que enriquecen la crítica.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Limitada creatividad, con ideas mayormente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bien integradas que respaldan los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citas adecuadas, aunque con integración menos natural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Citas limitadas o poco relevantes, con errores en la integración o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o las emplea incorrectamente sin relación clara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uso correcto de la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y formato requeridos, presentando el trabajo pulcro.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la extensión y formato,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extensión, formato ni presentación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2026-10-01T19:59:24-05:00</dcterms:created>
  <dcterms:modified xsi:type="dcterms:W3CDTF">2026-10-01T19:59:24-05:00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